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CA81B">
      <w:pPr>
        <w:pStyle w:val="6"/>
        <w:shd w:val="clear" w:color="auto" w:fill="FFFFFF"/>
        <w:spacing w:before="150" w:beforeAutospacing="0" w:after="150" w:afterAutospacing="0" w:line="360" w:lineRule="auto"/>
        <w:ind w:right="150"/>
        <w:rPr>
          <w:rFonts w:hint="eastAsia" w:cs="Times New Roman"/>
          <w:color w:val="333333"/>
          <w:sz w:val="29"/>
          <w:szCs w:val="29"/>
        </w:rPr>
      </w:pPr>
      <w:r>
        <w:rPr>
          <w:rFonts w:hint="eastAsia" w:cs="Times New Roman"/>
          <w:color w:val="333333"/>
          <w:sz w:val="29"/>
          <w:szCs w:val="29"/>
        </w:rPr>
        <w:t>附件1</w:t>
      </w:r>
    </w:p>
    <w:p w14:paraId="7B09EA0C">
      <w:pPr>
        <w:spacing w:line="360" w:lineRule="auto"/>
        <w:jc w:val="center"/>
        <w:outlineLvl w:val="0"/>
        <w:rPr>
          <w:rStyle w:val="17"/>
          <w:rFonts w:hint="eastAsia" w:ascii="Times New Roman"/>
        </w:rPr>
      </w:pPr>
      <w:bookmarkStart w:id="0" w:name="_GoBack"/>
      <w:r>
        <w:rPr>
          <w:rStyle w:val="17"/>
          <w:rFonts w:hint="eastAsia" w:ascii="Times New Roman"/>
        </w:rPr>
        <w:t>四川师范大学网络信息研究中心舆情数据资源平台服务技术参数及其他商务要求</w:t>
      </w:r>
    </w:p>
    <w:bookmarkEnd w:id="0"/>
    <w:p w14:paraId="4664D12F">
      <w:pPr>
        <w:widowControl w:val="0"/>
        <w:numPr>
          <w:ilvl w:val="0"/>
          <w:numId w:val="1"/>
        </w:numPr>
        <w:spacing w:after="0" w:line="360" w:lineRule="auto"/>
        <w:jc w:val="both"/>
        <w:outlineLvl w:val="1"/>
        <w:rPr>
          <w:rFonts w:hint="eastAsia" w:hAnsi="宋体" w:cs="宋体"/>
          <w:b/>
          <w:bCs/>
          <w:sz w:val="24"/>
          <w:szCs w:val="24"/>
        </w:rPr>
      </w:pPr>
      <w:r>
        <w:rPr>
          <w:rFonts w:hint="eastAsia" w:hAnsi="宋体" w:cs="宋体"/>
          <w:b/>
          <w:bCs/>
          <w:sz w:val="24"/>
          <w:szCs w:val="24"/>
        </w:rPr>
        <w:t>采购清单</w:t>
      </w:r>
    </w:p>
    <w:tbl>
      <w:tblPr>
        <w:tblStyle w:val="7"/>
        <w:tblpPr w:leftFromText="180" w:rightFromText="180" w:vertAnchor="text" w:horzAnchor="page" w:tblpX="1932" w:tblpY="44"/>
        <w:tblOverlap w:val="never"/>
        <w:tblW w:w="38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4"/>
        <w:gridCol w:w="1701"/>
        <w:gridCol w:w="1983"/>
      </w:tblGrid>
      <w:tr w14:paraId="3052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blHeader/>
        </w:trPr>
        <w:tc>
          <w:tcPr>
            <w:tcW w:w="2258" w:type="pct"/>
            <w:vAlign w:val="center"/>
          </w:tcPr>
          <w:p w14:paraId="24B9D79C">
            <w:pPr>
              <w:spacing w:line="276" w:lineRule="auto"/>
              <w:jc w:val="center"/>
              <w:rPr>
                <w:rFonts w:ascii="Times New Roman" w:hAnsi="Times New Roman" w:eastAsia="宋体" w:cs="宋体"/>
                <w:sz w:val="21"/>
                <w:szCs w:val="21"/>
              </w:rPr>
            </w:pPr>
            <w:r>
              <w:rPr>
                <w:rFonts w:ascii="Times New Roman" w:hAnsi="Times New Roman" w:eastAsia="宋体" w:cs="宋体"/>
                <w:sz w:val="21"/>
                <w:szCs w:val="21"/>
              </w:rPr>
              <w:t>品目名称</w:t>
            </w:r>
          </w:p>
        </w:tc>
        <w:tc>
          <w:tcPr>
            <w:tcW w:w="1266" w:type="pct"/>
            <w:vAlign w:val="center"/>
          </w:tcPr>
          <w:p w14:paraId="089145DB">
            <w:pPr>
              <w:spacing w:line="276" w:lineRule="auto"/>
              <w:jc w:val="center"/>
              <w:rPr>
                <w:rFonts w:ascii="Times New Roman" w:hAnsi="Times New Roman" w:eastAsia="宋体" w:cs="宋体"/>
                <w:sz w:val="21"/>
                <w:szCs w:val="21"/>
              </w:rPr>
            </w:pPr>
            <w:r>
              <w:rPr>
                <w:rFonts w:ascii="Times New Roman" w:hAnsi="Times New Roman" w:eastAsia="宋体" w:cs="宋体"/>
                <w:sz w:val="21"/>
                <w:szCs w:val="21"/>
              </w:rPr>
              <w:t>采购数量</w:t>
            </w:r>
          </w:p>
        </w:tc>
        <w:tc>
          <w:tcPr>
            <w:tcW w:w="1476" w:type="pct"/>
            <w:vAlign w:val="center"/>
          </w:tcPr>
          <w:p w14:paraId="48318F4A">
            <w:pPr>
              <w:spacing w:line="276" w:lineRule="auto"/>
              <w:jc w:val="center"/>
              <w:rPr>
                <w:rFonts w:ascii="Times New Roman" w:hAnsi="Times New Roman" w:eastAsia="宋体" w:cs="宋体"/>
                <w:sz w:val="21"/>
                <w:szCs w:val="21"/>
              </w:rPr>
            </w:pPr>
            <w:r>
              <w:rPr>
                <w:rFonts w:ascii="Times New Roman" w:hAnsi="Times New Roman" w:eastAsia="宋体" w:cs="宋体"/>
                <w:sz w:val="21"/>
                <w:szCs w:val="21"/>
              </w:rPr>
              <w:t>计量单位</w:t>
            </w:r>
          </w:p>
        </w:tc>
      </w:tr>
      <w:tr w14:paraId="6CA2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2258" w:type="pct"/>
            <w:vAlign w:val="center"/>
          </w:tcPr>
          <w:p w14:paraId="797DC4C7">
            <w:pPr>
              <w:jc w:val="center"/>
              <w:rPr>
                <w:rFonts w:ascii="Times New Roman" w:hAnsi="Times New Roman" w:eastAsia="宋体" w:cs="宋体"/>
                <w:sz w:val="21"/>
                <w:szCs w:val="21"/>
              </w:rPr>
            </w:pPr>
            <w:r>
              <w:rPr>
                <w:rFonts w:hint="eastAsia" w:ascii="Times New Roman" w:hAnsi="Times New Roman" w:eastAsia="宋体" w:cs="宋体"/>
                <w:sz w:val="21"/>
                <w:szCs w:val="21"/>
              </w:rPr>
              <w:t>专属数据平台服务</w:t>
            </w:r>
          </w:p>
        </w:tc>
        <w:tc>
          <w:tcPr>
            <w:tcW w:w="1266" w:type="pct"/>
            <w:vAlign w:val="center"/>
          </w:tcPr>
          <w:p w14:paraId="68F2FF86">
            <w:pPr>
              <w:jc w:val="center"/>
              <w:rPr>
                <w:rFonts w:ascii="Times New Roman" w:hAnsi="Times New Roman" w:eastAsia="宋体" w:cs="宋体"/>
                <w:sz w:val="21"/>
                <w:szCs w:val="21"/>
              </w:rPr>
            </w:pPr>
            <w:r>
              <w:rPr>
                <w:rFonts w:hint="eastAsia" w:ascii="Times New Roman" w:hAnsi="Times New Roman" w:eastAsia="宋体" w:cs="宋体"/>
                <w:sz w:val="21"/>
                <w:szCs w:val="21"/>
              </w:rPr>
              <w:t>1</w:t>
            </w:r>
          </w:p>
        </w:tc>
        <w:tc>
          <w:tcPr>
            <w:tcW w:w="1476" w:type="pct"/>
            <w:vAlign w:val="center"/>
          </w:tcPr>
          <w:p w14:paraId="4D41B3FC">
            <w:pPr>
              <w:jc w:val="center"/>
              <w:rPr>
                <w:rFonts w:ascii="Times New Roman" w:hAnsi="Times New Roman" w:eastAsia="宋体" w:cs="宋体"/>
                <w:sz w:val="21"/>
                <w:szCs w:val="21"/>
              </w:rPr>
            </w:pPr>
            <w:r>
              <w:rPr>
                <w:rFonts w:hint="eastAsia" w:ascii="Times New Roman" w:hAnsi="Times New Roman" w:eastAsia="宋体" w:cs="宋体"/>
                <w:sz w:val="21"/>
                <w:szCs w:val="21"/>
              </w:rPr>
              <w:t>项</w:t>
            </w:r>
          </w:p>
        </w:tc>
      </w:tr>
      <w:tr w14:paraId="3D59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2258" w:type="pct"/>
            <w:vAlign w:val="center"/>
          </w:tcPr>
          <w:p w14:paraId="38804501">
            <w:pPr>
              <w:jc w:val="center"/>
              <w:rPr>
                <w:rFonts w:ascii="Times New Roman" w:hAnsi="Times New Roman" w:eastAsia="宋体" w:cs="宋体"/>
                <w:sz w:val="21"/>
                <w:szCs w:val="21"/>
              </w:rPr>
            </w:pPr>
            <w:r>
              <w:rPr>
                <w:rFonts w:hint="eastAsia" w:ascii="Times New Roman" w:hAnsi="Times New Roman" w:eastAsia="宋体" w:cs="宋体"/>
                <w:sz w:val="21"/>
                <w:szCs w:val="21"/>
              </w:rPr>
              <w:t>数据支撑服务</w:t>
            </w:r>
          </w:p>
        </w:tc>
        <w:tc>
          <w:tcPr>
            <w:tcW w:w="1266" w:type="pct"/>
            <w:vAlign w:val="center"/>
          </w:tcPr>
          <w:p w14:paraId="2BE4188C">
            <w:pPr>
              <w:jc w:val="center"/>
              <w:rPr>
                <w:rFonts w:ascii="Times New Roman" w:hAnsi="Times New Roman" w:eastAsia="宋体" w:cs="宋体"/>
                <w:sz w:val="21"/>
                <w:szCs w:val="21"/>
              </w:rPr>
            </w:pPr>
            <w:r>
              <w:rPr>
                <w:rFonts w:hint="eastAsia" w:ascii="Times New Roman" w:hAnsi="Times New Roman" w:eastAsia="宋体" w:cs="宋体"/>
                <w:sz w:val="21"/>
                <w:szCs w:val="21"/>
              </w:rPr>
              <w:t>3</w:t>
            </w:r>
          </w:p>
        </w:tc>
        <w:tc>
          <w:tcPr>
            <w:tcW w:w="1476" w:type="pct"/>
            <w:vAlign w:val="center"/>
          </w:tcPr>
          <w:p w14:paraId="688E7CE3">
            <w:pPr>
              <w:jc w:val="center"/>
              <w:rPr>
                <w:rFonts w:ascii="Times New Roman" w:hAnsi="Times New Roman" w:eastAsia="宋体" w:cs="宋体"/>
                <w:sz w:val="21"/>
                <w:szCs w:val="21"/>
              </w:rPr>
            </w:pPr>
            <w:r>
              <w:rPr>
                <w:rFonts w:hint="eastAsia" w:ascii="Times New Roman" w:hAnsi="Times New Roman" w:eastAsia="宋体" w:cs="宋体"/>
                <w:sz w:val="21"/>
                <w:szCs w:val="21"/>
              </w:rPr>
              <w:t>次</w:t>
            </w:r>
          </w:p>
        </w:tc>
      </w:tr>
    </w:tbl>
    <w:p w14:paraId="4024E57D">
      <w:pPr>
        <w:rPr>
          <w:rStyle w:val="12"/>
          <w:rFonts w:ascii="宋体" w:hAnsi="Times New Roman" w:eastAsia="宋体" w:cs="Times New Roman"/>
          <w:b/>
          <w:bCs/>
          <w:kern w:val="0"/>
          <w14:ligatures w14:val="none"/>
        </w:rPr>
      </w:pPr>
    </w:p>
    <w:p w14:paraId="6284B850">
      <w:pPr>
        <w:rPr>
          <w:rStyle w:val="12"/>
          <w:rFonts w:ascii="宋体" w:hAnsi="Times New Roman" w:eastAsia="宋体" w:cs="Times New Roman"/>
          <w:b/>
          <w:bCs/>
          <w:kern w:val="0"/>
          <w14:ligatures w14:val="none"/>
        </w:rPr>
      </w:pPr>
    </w:p>
    <w:p w14:paraId="189FAEFB">
      <w:pPr>
        <w:rPr>
          <w:rStyle w:val="12"/>
          <w:rFonts w:ascii="宋体" w:hAnsi="Times New Roman" w:eastAsia="宋体" w:cs="Times New Roman"/>
          <w:b/>
          <w:bCs/>
          <w:kern w:val="0"/>
          <w14:ligatures w14:val="none"/>
        </w:rPr>
      </w:pPr>
    </w:p>
    <w:p w14:paraId="41088576">
      <w:pPr>
        <w:rPr>
          <w:rStyle w:val="12"/>
          <w:rFonts w:ascii="宋体" w:hAnsi="Times New Roman" w:eastAsia="宋体" w:cs="Times New Roman"/>
          <w:b/>
          <w:bCs/>
          <w:kern w:val="0"/>
          <w14:ligatures w14:val="none"/>
        </w:rPr>
      </w:pPr>
    </w:p>
    <w:p w14:paraId="7EF4D522">
      <w:pPr>
        <w:rPr>
          <w:rStyle w:val="12"/>
          <w:rFonts w:ascii="宋体" w:hAnsi="Times New Roman" w:eastAsia="宋体" w:cs="Times New Roman"/>
          <w:b/>
          <w:bCs/>
          <w:kern w:val="0"/>
          <w14:ligatures w14:val="none"/>
        </w:rPr>
      </w:pPr>
      <w:r>
        <w:rPr>
          <w:rStyle w:val="12"/>
          <w:rFonts w:hint="eastAsia" w:ascii="宋体" w:hAnsi="Times New Roman" w:eastAsia="宋体" w:cs="Times New Roman"/>
          <w:b/>
          <w:bCs/>
          <w:kern w:val="0"/>
          <w14:ligatures w14:val="none"/>
        </w:rPr>
        <w:t>服务方式：</w:t>
      </w:r>
      <w:r>
        <w:rPr>
          <w:rStyle w:val="12"/>
          <w:rFonts w:hint="eastAsia" w:ascii="宋体" w:hAnsi="Times New Roman" w:eastAsia="宋体" w:cs="Times New Roman"/>
          <w:kern w:val="0"/>
          <w14:ligatures w14:val="none"/>
        </w:rPr>
        <w:t>投标人须以基于云服务的SaaS模式提供本服务。</w:t>
      </w:r>
    </w:p>
    <w:p w14:paraId="11A16E51">
      <w:pPr>
        <w:widowControl w:val="0"/>
        <w:numPr>
          <w:ilvl w:val="0"/>
          <w:numId w:val="1"/>
        </w:numPr>
        <w:spacing w:after="0" w:line="360" w:lineRule="auto"/>
        <w:jc w:val="both"/>
        <w:outlineLvl w:val="1"/>
        <w:rPr>
          <w:rFonts w:hint="eastAsia" w:hAnsi="宋体" w:cs="宋体"/>
          <w:b/>
          <w:bCs/>
          <w:sz w:val="24"/>
          <w:szCs w:val="24"/>
        </w:rPr>
      </w:pPr>
      <w:r>
        <w:rPr>
          <w:rFonts w:hint="eastAsia" w:hAnsi="宋体" w:cs="宋体"/>
          <w:b/>
          <w:bCs/>
          <w:sz w:val="24"/>
          <w:szCs w:val="24"/>
        </w:rPr>
        <w:t xml:space="preserve">技术规格和配置要求： </w:t>
      </w:r>
    </w:p>
    <w:tbl>
      <w:tblPr>
        <w:tblStyle w:val="7"/>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6921"/>
      </w:tblGrid>
      <w:tr w14:paraId="2CE4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blHeader/>
          <w:jc w:val="center"/>
        </w:trPr>
        <w:tc>
          <w:tcPr>
            <w:tcW w:w="920" w:type="pct"/>
            <w:tcBorders>
              <w:top w:val="single" w:color="auto" w:sz="4" w:space="0"/>
              <w:left w:val="single" w:color="auto" w:sz="4" w:space="0"/>
              <w:bottom w:val="single" w:color="auto" w:sz="4" w:space="0"/>
              <w:right w:val="single" w:color="auto" w:sz="4" w:space="0"/>
            </w:tcBorders>
            <w:vAlign w:val="center"/>
          </w:tcPr>
          <w:p w14:paraId="7911E1BA">
            <w:pPr>
              <w:jc w:val="center"/>
              <w:rPr>
                <w:rFonts w:ascii="Times New Roman" w:hAnsi="Times New Roman" w:eastAsia="宋体" w:cs="宋体"/>
                <w:sz w:val="21"/>
                <w:szCs w:val="21"/>
              </w:rPr>
            </w:pPr>
            <w:r>
              <w:rPr>
                <w:rFonts w:hint="eastAsia" w:ascii="Times New Roman" w:hAnsi="Times New Roman" w:eastAsia="宋体" w:cs="宋体"/>
                <w:sz w:val="21"/>
                <w:szCs w:val="21"/>
              </w:rPr>
              <w:t>品目</w:t>
            </w:r>
          </w:p>
        </w:tc>
        <w:tc>
          <w:tcPr>
            <w:tcW w:w="4079" w:type="pct"/>
            <w:tcBorders>
              <w:top w:val="single" w:color="auto" w:sz="4" w:space="0"/>
              <w:left w:val="single" w:color="auto" w:sz="4" w:space="0"/>
              <w:bottom w:val="single" w:color="auto" w:sz="4" w:space="0"/>
              <w:right w:val="single" w:color="auto" w:sz="4" w:space="0"/>
            </w:tcBorders>
            <w:vAlign w:val="center"/>
          </w:tcPr>
          <w:p w14:paraId="3E0DA7A3">
            <w:pPr>
              <w:jc w:val="center"/>
              <w:rPr>
                <w:rFonts w:ascii="Times New Roman" w:hAnsi="Times New Roman" w:eastAsia="宋体" w:cs="宋体"/>
                <w:sz w:val="21"/>
                <w:szCs w:val="21"/>
              </w:rPr>
            </w:pPr>
            <w:r>
              <w:rPr>
                <w:rFonts w:hint="eastAsia" w:ascii="Times New Roman" w:hAnsi="Times New Roman" w:eastAsia="宋体" w:cs="宋体"/>
                <w:sz w:val="21"/>
                <w:szCs w:val="21"/>
              </w:rPr>
              <w:t>技术规格和配置要求</w:t>
            </w:r>
          </w:p>
        </w:tc>
      </w:tr>
      <w:tr w14:paraId="616B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pct"/>
            <w:tcBorders>
              <w:top w:val="single" w:color="auto" w:sz="4" w:space="0"/>
              <w:left w:val="single" w:color="auto" w:sz="4" w:space="0"/>
              <w:bottom w:val="single" w:color="auto" w:sz="4" w:space="0"/>
              <w:right w:val="single" w:color="auto" w:sz="4" w:space="0"/>
            </w:tcBorders>
            <w:vAlign w:val="center"/>
          </w:tcPr>
          <w:p w14:paraId="66DECC7B">
            <w:pPr>
              <w:jc w:val="center"/>
              <w:rPr>
                <w:rFonts w:ascii="Times New Roman" w:hAnsi="Times New Roman" w:eastAsia="宋体" w:cs="宋体"/>
                <w:sz w:val="21"/>
                <w:szCs w:val="21"/>
              </w:rPr>
            </w:pPr>
            <w:r>
              <w:rPr>
                <w:rFonts w:hint="eastAsia" w:ascii="Times New Roman" w:hAnsi="Times New Roman" w:eastAsia="宋体" w:cs="宋体"/>
                <w:sz w:val="21"/>
                <w:szCs w:val="21"/>
              </w:rPr>
              <w:t>专属数据平台</w:t>
            </w:r>
          </w:p>
        </w:tc>
        <w:tc>
          <w:tcPr>
            <w:tcW w:w="4079" w:type="pct"/>
            <w:tcBorders>
              <w:top w:val="single" w:color="auto" w:sz="4" w:space="0"/>
              <w:left w:val="single" w:color="auto" w:sz="4" w:space="0"/>
              <w:bottom w:val="single" w:color="auto" w:sz="4" w:space="0"/>
              <w:right w:val="single" w:color="auto" w:sz="4" w:space="0"/>
            </w:tcBorders>
            <w:vAlign w:val="center"/>
          </w:tcPr>
          <w:p w14:paraId="0C5768DF">
            <w:pPr>
              <w:numPr>
                <w:ilvl w:val="0"/>
                <w:numId w:val="2"/>
              </w:num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平台登录</w:t>
            </w:r>
          </w:p>
          <w:p w14:paraId="105EF2DB">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提供专属域名</w:t>
            </w:r>
            <w:r>
              <w:rPr>
                <w:rFonts w:ascii="Times New Roman" w:hAnsi="Times New Roman" w:eastAsia="宋体" w:cs="宋体"/>
                <w:sz w:val="21"/>
                <w:szCs w:val="21"/>
              </w:rPr>
              <w:t>访问登录页面并输入账号和密码，远程登录系统，访问</w:t>
            </w:r>
            <w:r>
              <w:rPr>
                <w:rFonts w:hint="eastAsia" w:ascii="Times New Roman" w:hAnsi="Times New Roman" w:eastAsia="宋体" w:cs="宋体"/>
                <w:sz w:val="21"/>
                <w:szCs w:val="21"/>
              </w:rPr>
              <w:t>各功能模块</w:t>
            </w:r>
            <w:r>
              <w:rPr>
                <w:rFonts w:ascii="Times New Roman" w:hAnsi="Times New Roman" w:eastAsia="宋体" w:cs="宋体"/>
                <w:sz w:val="21"/>
                <w:szCs w:val="21"/>
              </w:rPr>
              <w:t>与数据。</w:t>
            </w:r>
          </w:p>
          <w:p w14:paraId="259765BF">
            <w:pPr>
              <w:numPr>
                <w:ilvl w:val="0"/>
                <w:numId w:val="2"/>
              </w:num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数据总览</w:t>
            </w:r>
          </w:p>
          <w:p w14:paraId="3C270DFA">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从多个维度, 用可视化的方式展示登录账号的数据监测和使用情况。包括信息总量、敏感信息、来源占比、热门信息、热门视频和账号详情等维度24小时内方案数据，统计结果30分钟更新一次。</w:t>
            </w:r>
          </w:p>
          <w:p w14:paraId="41501580">
            <w:pPr>
              <w:numPr>
                <w:ilvl w:val="0"/>
                <w:numId w:val="2"/>
              </w:num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数据监测</w:t>
            </w:r>
          </w:p>
          <w:p w14:paraId="385595A2">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3.1 系统需支持通过快速配置和高级配置两种模式创建舆情监测方案。</w:t>
            </w:r>
          </w:p>
          <w:p w14:paraId="465A424A">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3.2 系统需支持对已有监测方案的名称、关键词等进行编辑，并具备方案修改历史追溯与一键恢复功能。</w:t>
            </w:r>
          </w:p>
          <w:p w14:paraId="0FADF3F1">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3.3 系统需提供监测方案删除功能。</w:t>
            </w:r>
          </w:p>
          <w:p w14:paraId="1F741CF9">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3.4系统需提供综合信息列表，并支持用户按监测时间、信息排序、属性、匹配方式、结果类型、相似文章合并、精准筛选、信源区域、阅读状态、信息类型、信源级别、来源类型、视频时长及微博专项等多维度条件进行筛选与查询。</w:t>
            </w:r>
          </w:p>
          <w:p w14:paraId="44884DAE">
            <w:pPr>
              <w:numPr>
                <w:ilvl w:val="0"/>
                <w:numId w:val="2"/>
              </w:num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舆情简报</w:t>
            </w:r>
          </w:p>
          <w:p w14:paraId="3C18E227">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4.1 系统需提供基于选定素材和模板，可自动生成包含监测总览、情感分析、媒体明细等多维度的舆情简报功能。</w:t>
            </w:r>
          </w:p>
          <w:p w14:paraId="21A8D91F">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4.2 简报创建需支持通过开关控制是否启用自定义时间段设置。</w:t>
            </w:r>
          </w:p>
          <w:p w14:paraId="659E43C4">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4.3 系统需支持对简报模板的封面字体、样式进行设置。</w:t>
            </w:r>
          </w:p>
          <w:p w14:paraId="039A9750">
            <w:pPr>
              <w:spacing w:after="0" w:line="240" w:lineRule="auto"/>
              <w:rPr>
                <w:rFonts w:ascii="Times New Roman" w:hAnsi="Times New Roman" w:eastAsia="宋体" w:cs="宋体"/>
                <w:sz w:val="21"/>
                <w:szCs w:val="21"/>
              </w:rPr>
            </w:pPr>
            <w:r>
              <w:rPr>
                <w:rFonts w:hint="eastAsia" w:ascii="Times New Roman" w:hAnsi="Times New Roman" w:eastAsia="宋体" w:cs="宋体"/>
                <w:sz w:val="21"/>
                <w:szCs w:val="21"/>
              </w:rPr>
              <w:t>4.4 系统需提供简报列表，支持对已生成简报进行在线查看、下载（Word/PDF/Excel）。</w:t>
            </w:r>
          </w:p>
          <w:p w14:paraId="5CAB9B1F">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4.5 系统需支持对已生成简报的“主要舆情”、“舆情导读”等内容进行单条信息删除，并对分析维度的文字描述进行自定义修改。</w:t>
            </w:r>
          </w:p>
          <w:p w14:paraId="3E6AE3E8">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4.6 系统需提供素材库，支持对简报素材进行单条或批量的复制、剪切、删除、编辑、排序等管理操作。</w:t>
            </w:r>
          </w:p>
          <w:p w14:paraId="25B6077C">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4.7 系统需提供党政、行业等分类简报模板，并支持通过拖拽组件的方式新建和编辑自定义模板。</w:t>
            </w:r>
          </w:p>
          <w:p w14:paraId="5349EF78">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5.舆情检索</w:t>
            </w:r>
          </w:p>
          <w:p w14:paraId="5674BD1D">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5.1 系统需提供全文检索功能，包括支持分词与精确匹配的舆情检索，以及聚合多个外部平台结果的云检索。</w:t>
            </w:r>
          </w:p>
          <w:p w14:paraId="5787D84D">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5.2 系统需支持用户通过输入关键词进行舆情或云检索，并提供监测时间、信息排序、属性等多维度筛选，同时支持自定义时间范围及对结果进行收藏操作。</w:t>
            </w:r>
          </w:p>
          <w:p w14:paraId="1181E8DA">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5.3 系统需提供24小时热点榜，按预设分类展示热点事件排行及热度趋势，并支持点击事件跳转至全文检索结果页。</w:t>
            </w:r>
          </w:p>
          <w:p w14:paraId="3FCEB5BB">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6.舆情分析</w:t>
            </w:r>
          </w:p>
          <w:p w14:paraId="781EAC29">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6.1 突发事件分析（服务期内限 5 次）</w:t>
            </w:r>
          </w:p>
          <w:p w14:paraId="4BBF89F2">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系统需提供针对特定事件、品牌或地域的全网事件深度分析功能。该功能允许用户通过设置个性化监测方案（支持输入事件涉及词与排除词，并支持引用现有监测方案），对来自微博、微信、客户端、网站、论坛等全互联网渠道的信息进行检索与分析。分析报告须智能生成，并至少包含事件概览、传播走势、媒体解析、数据透视、文本分析、舆情总结六大核心板块，以丰富的可视化图表呈现。报告生成后，支持在线查看进度与完整报告、下载为WORD或PDF格式。此外，系统需支持对已完成报告的有限次更新（仅可修改时间）。</w:t>
            </w:r>
          </w:p>
          <w:p w14:paraId="0E1BD5DE">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6.2 微博事件分析（服务期内限 10 次）</w:t>
            </w:r>
          </w:p>
          <w:p w14:paraId="5CE86E07">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系统需提供专注于微博平台的专项事件分析功能。该功能基于用户配置的监测方案，对微博平台数据进行检索与深度挖掘，从事件概览、事件传播、数据分析、用户画像及舆情总结五大维度进行自动分析，并以图表化形式呈现结果。分析维度需全面覆盖热点词云、传播路径、情绪分析、核心传播人、意见领袖、水军分布、用户地域与兴趣标签等关键指标。用户可通过设置任务名称、关键词、排除词和分析时间来创建任务，系统应支持高级筛选并预估分析规模。报告生成后，支持在线查看、下载为WORD格式。</w:t>
            </w:r>
          </w:p>
          <w:p w14:paraId="5BD1EE37">
            <w:pPr>
              <w:numPr>
                <w:ilvl w:val="0"/>
                <w:numId w:val="3"/>
              </w:num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AI助手</w:t>
            </w:r>
          </w:p>
          <w:p w14:paraId="1FAC8E7F">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系统需支持基于自然语言处理技术，实现通过一句话指令智能生成关键词监测方案、查询事件多维分析数据及自动生成多类型舆情报告的辅助功能。</w:t>
            </w:r>
          </w:p>
          <w:p w14:paraId="39E361CC">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8.平台账号</w:t>
            </w:r>
          </w:p>
          <w:p w14:paraId="632BA9C5">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系统需支持配置不少于2个独立的平台用户账号。</w:t>
            </w:r>
          </w:p>
          <w:p w14:paraId="1D1CE287">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9.数据监测方案</w:t>
            </w:r>
          </w:p>
          <w:p w14:paraId="782B2776">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系统需支持创建并保存至少1个数据监测方案。</w:t>
            </w:r>
          </w:p>
          <w:p w14:paraId="2A95D294">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10.关键字数量</w:t>
            </w:r>
          </w:p>
          <w:p w14:paraId="50BC4338">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系统需支持同时监测的关键字总数不少于100个。</w:t>
            </w:r>
          </w:p>
        </w:tc>
      </w:tr>
      <w:tr w14:paraId="5F26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pct"/>
            <w:tcBorders>
              <w:top w:val="single" w:color="auto" w:sz="4" w:space="0"/>
              <w:left w:val="single" w:color="auto" w:sz="4" w:space="0"/>
              <w:bottom w:val="single" w:color="auto" w:sz="4" w:space="0"/>
              <w:right w:val="single" w:color="auto" w:sz="4" w:space="0"/>
            </w:tcBorders>
            <w:vAlign w:val="center"/>
          </w:tcPr>
          <w:p w14:paraId="76C5A390">
            <w:pPr>
              <w:jc w:val="center"/>
              <w:rPr>
                <w:rFonts w:ascii="Times New Roman" w:hAnsi="Times New Roman" w:eastAsia="宋体" w:cs="宋体"/>
                <w:sz w:val="21"/>
                <w:szCs w:val="21"/>
              </w:rPr>
            </w:pPr>
            <w:r>
              <w:rPr>
                <w:rFonts w:hint="eastAsia" w:ascii="Times New Roman" w:hAnsi="Times New Roman" w:eastAsia="宋体" w:cs="宋体"/>
                <w:sz w:val="21"/>
                <w:szCs w:val="21"/>
              </w:rPr>
              <w:t>数据支撑服务</w:t>
            </w:r>
          </w:p>
        </w:tc>
        <w:tc>
          <w:tcPr>
            <w:tcW w:w="4079" w:type="pct"/>
            <w:tcBorders>
              <w:top w:val="single" w:color="auto" w:sz="4" w:space="0"/>
              <w:left w:val="single" w:color="auto" w:sz="4" w:space="0"/>
              <w:bottom w:val="single" w:color="auto" w:sz="4" w:space="0"/>
              <w:right w:val="single" w:color="auto" w:sz="4" w:space="0"/>
            </w:tcBorders>
            <w:vAlign w:val="center"/>
          </w:tcPr>
          <w:p w14:paraId="1720C4B3">
            <w:pPr>
              <w:spacing w:after="0" w:line="240" w:lineRule="auto"/>
              <w:jc w:val="both"/>
              <w:rPr>
                <w:rFonts w:ascii="Times New Roman" w:hAnsi="Times New Roman" w:eastAsia="宋体" w:cs="宋体"/>
                <w:sz w:val="21"/>
                <w:szCs w:val="21"/>
              </w:rPr>
            </w:pPr>
            <w:r>
              <w:rPr>
                <w:rFonts w:hint="eastAsia" w:ascii="Times New Roman" w:hAnsi="Times New Roman" w:eastAsia="宋体" w:cs="宋体"/>
                <w:sz w:val="21"/>
                <w:szCs w:val="21"/>
              </w:rPr>
              <w:t>服务期内，乙方为甲方提供数据支撑服务不少于 3 次。每次服务由甲方提出主题或需求，乙方基于平台数据完成专题数据采集、清洗与统计分析，并出具相应的专题分析报告（Word 或 PDF 格式）交付甲方使用。数据支撑服务费用已包含在合同总价内，采购人无需另行支付。</w:t>
            </w:r>
          </w:p>
        </w:tc>
      </w:tr>
    </w:tbl>
    <w:p w14:paraId="6D492776">
      <w:pPr>
        <w:spacing w:line="276" w:lineRule="auto"/>
        <w:rPr>
          <w:rFonts w:ascii="Times New Roman" w:hAnsi="Times New Roman" w:eastAsia="宋体" w:cs="宋体"/>
          <w:sz w:val="21"/>
          <w:szCs w:val="21"/>
        </w:rPr>
      </w:pPr>
      <w:r>
        <w:rPr>
          <w:rFonts w:hint="eastAsia" w:hAnsi="宋体" w:cs="宋体"/>
          <w:b/>
          <w:bCs/>
          <w:sz w:val="24"/>
          <w:szCs w:val="24"/>
        </w:rPr>
        <w:br w:type="page"/>
      </w:r>
      <w:r>
        <w:rPr>
          <w:rFonts w:hint="eastAsia" w:ascii="Times New Roman" w:hAnsi="Times New Roman" w:eastAsia="宋体" w:cs="宋体"/>
          <w:sz w:val="21"/>
          <w:szCs w:val="21"/>
        </w:rPr>
        <w:t>三、商务要求：</w:t>
      </w:r>
    </w:p>
    <w:p w14:paraId="2A7BD2BA">
      <w:pPr>
        <w:spacing w:line="276" w:lineRule="auto"/>
        <w:ind w:left="2" w:leftChars="1" w:firstLine="455" w:firstLineChars="217"/>
        <w:rPr>
          <w:rFonts w:ascii="Times New Roman" w:hAnsi="Times New Roman" w:eastAsia="宋体" w:cs="宋体"/>
          <w:sz w:val="21"/>
          <w:szCs w:val="21"/>
        </w:rPr>
      </w:pPr>
      <w:r>
        <w:rPr>
          <w:rFonts w:hint="eastAsia" w:ascii="Times New Roman" w:hAnsi="Times New Roman" w:eastAsia="宋体" w:cs="宋体"/>
          <w:sz w:val="21"/>
          <w:szCs w:val="21"/>
        </w:rPr>
        <w:t>1、付款方式：合同签订后一周内采购人向服务商支付合同总价款的100%（服务商须向采购人出具合法有效完整的增值税发票进行支付结算）。</w:t>
      </w:r>
    </w:p>
    <w:p w14:paraId="6B5002F5">
      <w:pPr>
        <w:spacing w:line="276" w:lineRule="auto"/>
        <w:ind w:left="2" w:leftChars="1" w:firstLine="455" w:firstLineChars="217"/>
        <w:rPr>
          <w:rFonts w:ascii="Times New Roman" w:hAnsi="Times New Roman" w:eastAsia="宋体" w:cs="宋体"/>
          <w:sz w:val="21"/>
          <w:szCs w:val="21"/>
        </w:rPr>
      </w:pPr>
      <w:r>
        <w:rPr>
          <w:rFonts w:hint="eastAsia" w:ascii="Times New Roman" w:hAnsi="Times New Roman" w:eastAsia="宋体" w:cs="宋体"/>
          <w:sz w:val="21"/>
          <w:szCs w:val="21"/>
        </w:rPr>
        <w:t>2、履约时间：供应商在合同签订后30日内完成平台开通、配置与调试工作。</w:t>
      </w:r>
    </w:p>
    <w:p w14:paraId="778E6597">
      <w:pPr>
        <w:spacing w:line="276" w:lineRule="auto"/>
        <w:ind w:left="2" w:leftChars="1" w:firstLine="455" w:firstLineChars="217"/>
        <w:rPr>
          <w:rFonts w:ascii="Times New Roman" w:hAnsi="Times New Roman" w:eastAsia="宋体" w:cs="宋体"/>
          <w:sz w:val="21"/>
          <w:szCs w:val="21"/>
        </w:rPr>
      </w:pPr>
      <w:r>
        <w:rPr>
          <w:rFonts w:hint="eastAsia" w:ascii="Times New Roman" w:hAnsi="Times New Roman" w:eastAsia="宋体" w:cs="宋体"/>
          <w:sz w:val="21"/>
          <w:szCs w:val="21"/>
        </w:rPr>
        <w:t>3、履约地点：成都市锦江区静安路5号和成都市龙泉驿区成龙大道二段1819号四川师范大学校内，最终用户指定地点。</w:t>
      </w:r>
    </w:p>
    <w:p w14:paraId="2CDC43F9">
      <w:pPr>
        <w:spacing w:line="276" w:lineRule="auto"/>
        <w:ind w:left="2" w:leftChars="1" w:firstLine="455" w:firstLineChars="217"/>
        <w:rPr>
          <w:rFonts w:ascii="Times New Roman" w:hAnsi="Times New Roman" w:eastAsia="宋体" w:cs="宋体"/>
          <w:sz w:val="21"/>
          <w:szCs w:val="21"/>
        </w:rPr>
      </w:pPr>
      <w:r>
        <w:rPr>
          <w:rFonts w:hint="eastAsia" w:ascii="Times New Roman" w:hAnsi="Times New Roman" w:eastAsia="宋体" w:cs="宋体"/>
          <w:sz w:val="21"/>
          <w:szCs w:val="21"/>
        </w:rPr>
        <w:t>4、验收标准：按国家有关规定以及招标文件、供应商的投标文件和双方签订的合同约定标准进行验收。</w:t>
      </w:r>
    </w:p>
    <w:p w14:paraId="19287383">
      <w:pPr>
        <w:spacing w:line="276" w:lineRule="auto"/>
        <w:ind w:left="2" w:leftChars="1" w:firstLine="455" w:firstLineChars="217"/>
        <w:rPr>
          <w:rFonts w:ascii="Times New Roman" w:hAnsi="Times New Roman" w:eastAsia="宋体" w:cs="宋体"/>
          <w:sz w:val="21"/>
          <w:szCs w:val="21"/>
        </w:rPr>
      </w:pPr>
      <w:r>
        <w:rPr>
          <w:rFonts w:hint="eastAsia" w:ascii="Times New Roman" w:hAnsi="Times New Roman" w:eastAsia="宋体" w:cs="宋体"/>
          <w:sz w:val="21"/>
          <w:szCs w:val="21"/>
        </w:rPr>
        <w:t>5、售后服务：</w:t>
      </w:r>
    </w:p>
    <w:p w14:paraId="3FE42A14">
      <w:pPr>
        <w:ind w:firstLine="440" w:firstLineChars="200"/>
        <w:rPr>
          <w:rFonts w:hint="eastAsia" w:hAnsi="宋体" w:cs="宋体"/>
          <w:color w:val="000000"/>
          <w:sz w:val="24"/>
          <w:szCs w:val="24"/>
          <w:lang w:bidi="ar"/>
        </w:rPr>
      </w:pPr>
      <w:r>
        <w:rPr>
          <w:rFonts w:hint="eastAsia" w:ascii="Times New Roman" w:cs="宋体"/>
        </w:rPr>
        <w:t>5.</w:t>
      </w:r>
      <w:r>
        <w:rPr>
          <w:rFonts w:hint="eastAsia" w:ascii="Times New Roman" w:hAnsi="Times New Roman" w:eastAsia="宋体" w:cs="宋体"/>
          <w:sz w:val="21"/>
          <w:szCs w:val="21"/>
        </w:rPr>
        <w:t>1</w:t>
      </w:r>
      <w:r>
        <w:rPr>
          <w:rStyle w:val="12"/>
          <w:rFonts w:hint="eastAsia" w:ascii="宋体" w:hAnsi="Times New Roman" w:eastAsia="宋体" w:cs="Times New Roman"/>
          <w:kern w:val="0"/>
          <w14:ligatures w14:val="none"/>
        </w:rPr>
        <w:t>服务商应在资源平台服务交付使用后，为采购方提供至少1次线下现场培训服务。培训应覆盖系统所有核心功能模块（如监测方案设置、信息筛选、简报制作、报告分析等）的操作流程，确保采购方的关键使用人员能独立、熟练地操作。</w:t>
      </w:r>
    </w:p>
    <w:p w14:paraId="2F2F11AA">
      <w:pPr>
        <w:spacing w:line="276" w:lineRule="auto"/>
        <w:ind w:left="2" w:leftChars="1" w:firstLine="455" w:firstLineChars="217"/>
        <w:rPr>
          <w:rFonts w:ascii="Times New Roman" w:hAnsi="Times New Roman" w:eastAsia="宋体" w:cs="宋体"/>
          <w:sz w:val="21"/>
          <w:szCs w:val="21"/>
        </w:rPr>
      </w:pPr>
      <w:r>
        <w:rPr>
          <w:rFonts w:hint="eastAsia" w:ascii="Times New Roman" w:hAnsi="Times New Roman" w:eastAsia="宋体" w:cs="宋体"/>
          <w:sz w:val="21"/>
          <w:szCs w:val="21"/>
        </w:rPr>
        <w:t>5.2整体项目从验收合格起开始计算服务时间，服务期内平台进行各项功能升级。（费用包含在报价中，采购人无需另行支付费用）。</w:t>
      </w:r>
    </w:p>
    <w:p w14:paraId="3BC57CC7">
      <w:pPr>
        <w:spacing w:line="276" w:lineRule="auto"/>
        <w:ind w:left="2" w:leftChars="1" w:firstLine="455" w:firstLineChars="217"/>
      </w:pPr>
      <w:r>
        <w:rPr>
          <w:rFonts w:hint="eastAsia" w:ascii="Times New Roman" w:hAnsi="Times New Roman" w:eastAsia="宋体" w:cs="宋体"/>
          <w:sz w:val="21"/>
          <w:szCs w:val="21"/>
        </w:rPr>
        <w:t>5.3在服务期内，供应商提供7×24小时的技术支持服务，在接到采购人故障报修后1小时内响应（电话响应），并在24小时内解决故障问题，48小时内无法及时完成维修的需提供备用使用途径。</w:t>
      </w:r>
    </w:p>
    <w:p w14:paraId="2250A5DA">
      <w:pPr>
        <w:pStyle w:val="6"/>
        <w:shd w:val="clear" w:color="auto" w:fill="FFFFFF"/>
        <w:spacing w:before="150" w:beforeAutospacing="0" w:after="150" w:afterAutospacing="0" w:line="360" w:lineRule="auto"/>
        <w:ind w:right="150"/>
        <w:rPr>
          <w:rFonts w:hint="eastAsia" w:cs="Times New Roman"/>
          <w:color w:val="333333"/>
          <w:sz w:val="29"/>
          <w:szCs w:val="29"/>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F1DEE1"/>
    <w:multiLevelType w:val="singleLevel"/>
    <w:tmpl w:val="09F1DEE1"/>
    <w:lvl w:ilvl="0" w:tentative="0">
      <w:start w:val="1"/>
      <w:numFmt w:val="decimal"/>
      <w:lvlText w:val="%1."/>
      <w:lvlJc w:val="left"/>
      <w:pPr>
        <w:tabs>
          <w:tab w:val="left" w:pos="312"/>
        </w:tabs>
      </w:pPr>
    </w:lvl>
  </w:abstractNum>
  <w:abstractNum w:abstractNumId="1">
    <w:nsid w:val="1769FBED"/>
    <w:multiLevelType w:val="singleLevel"/>
    <w:tmpl w:val="1769FBED"/>
    <w:lvl w:ilvl="0" w:tentative="0">
      <w:start w:val="7"/>
      <w:numFmt w:val="decimal"/>
      <w:lvlText w:val="%1."/>
      <w:lvlJc w:val="left"/>
      <w:pPr>
        <w:tabs>
          <w:tab w:val="left" w:pos="312"/>
        </w:tabs>
      </w:pPr>
    </w:lvl>
  </w:abstractNum>
  <w:abstractNum w:abstractNumId="2">
    <w:nsid w:val="7C2B8847"/>
    <w:multiLevelType w:val="singleLevel"/>
    <w:tmpl w:val="7C2B8847"/>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DFE"/>
    <w:rsid w:val="0002224C"/>
    <w:rsid w:val="00043F0F"/>
    <w:rsid w:val="000C49A7"/>
    <w:rsid w:val="001B6260"/>
    <w:rsid w:val="00206675"/>
    <w:rsid w:val="0029619A"/>
    <w:rsid w:val="002D4D24"/>
    <w:rsid w:val="003318C2"/>
    <w:rsid w:val="00343D4C"/>
    <w:rsid w:val="00386F51"/>
    <w:rsid w:val="00396F8D"/>
    <w:rsid w:val="003C1EEA"/>
    <w:rsid w:val="00453480"/>
    <w:rsid w:val="00514574"/>
    <w:rsid w:val="005940B4"/>
    <w:rsid w:val="005D6E2A"/>
    <w:rsid w:val="006710B3"/>
    <w:rsid w:val="006B72B1"/>
    <w:rsid w:val="006C4D26"/>
    <w:rsid w:val="007246AC"/>
    <w:rsid w:val="00773936"/>
    <w:rsid w:val="00826EE1"/>
    <w:rsid w:val="008E41F4"/>
    <w:rsid w:val="00926B32"/>
    <w:rsid w:val="00934A7D"/>
    <w:rsid w:val="00990084"/>
    <w:rsid w:val="009D179A"/>
    <w:rsid w:val="009D645A"/>
    <w:rsid w:val="00A139E7"/>
    <w:rsid w:val="00AA651D"/>
    <w:rsid w:val="00AD61D6"/>
    <w:rsid w:val="00B91736"/>
    <w:rsid w:val="00BF35D5"/>
    <w:rsid w:val="00C3300E"/>
    <w:rsid w:val="00C81C13"/>
    <w:rsid w:val="00E850D9"/>
    <w:rsid w:val="00E866E9"/>
    <w:rsid w:val="00EC1CF8"/>
    <w:rsid w:val="00F81258"/>
    <w:rsid w:val="00F92DFE"/>
    <w:rsid w:val="00FC72C2"/>
    <w:rsid w:val="03750F34"/>
    <w:rsid w:val="03C5329A"/>
    <w:rsid w:val="06BF648C"/>
    <w:rsid w:val="073D6ACA"/>
    <w:rsid w:val="0B5414DE"/>
    <w:rsid w:val="0FFA7BE8"/>
    <w:rsid w:val="14357918"/>
    <w:rsid w:val="162F23DD"/>
    <w:rsid w:val="17996410"/>
    <w:rsid w:val="17B55FAB"/>
    <w:rsid w:val="1AC65B53"/>
    <w:rsid w:val="1E516A29"/>
    <w:rsid w:val="206C4EFA"/>
    <w:rsid w:val="26E17BC6"/>
    <w:rsid w:val="29AE51F5"/>
    <w:rsid w:val="29C63095"/>
    <w:rsid w:val="2C9D5309"/>
    <w:rsid w:val="2CD77AC1"/>
    <w:rsid w:val="31132737"/>
    <w:rsid w:val="323E01AC"/>
    <w:rsid w:val="34C31F20"/>
    <w:rsid w:val="3FB928FC"/>
    <w:rsid w:val="40620587"/>
    <w:rsid w:val="419255EE"/>
    <w:rsid w:val="4287415D"/>
    <w:rsid w:val="50C14033"/>
    <w:rsid w:val="50EB6204"/>
    <w:rsid w:val="53C438F2"/>
    <w:rsid w:val="55212519"/>
    <w:rsid w:val="55F51F89"/>
    <w:rsid w:val="589B4D23"/>
    <w:rsid w:val="5F334021"/>
    <w:rsid w:val="664B7471"/>
    <w:rsid w:val="670C5884"/>
    <w:rsid w:val="6764121C"/>
    <w:rsid w:val="697414BE"/>
    <w:rsid w:val="6BAA566B"/>
    <w:rsid w:val="6C560139"/>
    <w:rsid w:val="6FAE5EA5"/>
    <w:rsid w:val="70F22AAD"/>
    <w:rsid w:val="715E6F0F"/>
    <w:rsid w:val="78D2453A"/>
    <w:rsid w:val="79B27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kern w:val="2"/>
      <w:sz w:val="22"/>
      <w:szCs w:val="22"/>
      <w:lang w:val="en-US" w:eastAsia="zh-CN" w:bidi="ar-SA"/>
      <w14:ligatures w14:val="standardContextual"/>
    </w:rPr>
  </w:style>
  <w:style w:type="paragraph" w:styleId="2">
    <w:name w:val="heading 1"/>
    <w:basedOn w:val="1"/>
    <w:next w:val="1"/>
    <w:link w:val="17"/>
    <w:qFormat/>
    <w:uiPriority w:val="99"/>
    <w:pPr>
      <w:keepNext/>
      <w:keepLines/>
      <w:widowControl w:val="0"/>
      <w:spacing w:after="0" w:line="360" w:lineRule="auto"/>
      <w:jc w:val="center"/>
      <w:outlineLvl w:val="0"/>
    </w:pPr>
    <w:rPr>
      <w:rFonts w:ascii="宋体" w:hAnsi="宋体" w:eastAsia="宋体" w:cs="Times New Roman"/>
      <w:b/>
      <w:bCs/>
      <w:kern w:val="44"/>
      <w:sz w:val="36"/>
      <w:szCs w:val="44"/>
      <w14:ligatures w14:val="none"/>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9"/>
    <w:qFormat/>
    <w:uiPriority w:val="0"/>
    <w:pPr>
      <w:widowControl w:val="0"/>
      <w:spacing w:after="0" w:line="240" w:lineRule="auto"/>
    </w:pPr>
    <w:rPr>
      <w:rFonts w:ascii="宋体" w:hAnsi="Times New Roman" w:eastAsia="宋体" w:cs="Times New Roman"/>
      <w:kern w:val="0"/>
      <w:sz w:val="34"/>
      <w14:ligatures w14:val="none"/>
    </w:rPr>
  </w:style>
  <w:style w:type="paragraph" w:styleId="4">
    <w:name w:val="footer"/>
    <w:basedOn w:val="1"/>
    <w:link w:val="14"/>
    <w:unhideWhenUsed/>
    <w:qFormat/>
    <w:uiPriority w:val="99"/>
    <w:pPr>
      <w:tabs>
        <w:tab w:val="center" w:pos="4320"/>
        <w:tab w:val="right" w:pos="8640"/>
      </w:tabs>
      <w:snapToGrid w:val="0"/>
      <w:spacing w:line="240" w:lineRule="auto"/>
    </w:pPr>
    <w:rPr>
      <w:sz w:val="18"/>
      <w:szCs w:val="18"/>
    </w:rPr>
  </w:style>
  <w:style w:type="paragraph" w:styleId="5">
    <w:name w:val="header"/>
    <w:basedOn w:val="1"/>
    <w:link w:val="13"/>
    <w:unhideWhenUsed/>
    <w:qFormat/>
    <w:uiPriority w:val="99"/>
    <w:pPr>
      <w:tabs>
        <w:tab w:val="center" w:pos="4320"/>
        <w:tab w:val="right" w:pos="8640"/>
      </w:tabs>
      <w:snapToGrid w:val="0"/>
      <w:spacing w:line="240" w:lineRule="auto"/>
      <w:jc w:val="center"/>
    </w:pPr>
    <w:rPr>
      <w:sz w:val="18"/>
      <w:szCs w:val="18"/>
    </w:rPr>
  </w:style>
  <w:style w:type="paragraph" w:styleId="6">
    <w:name w:val="Normal (Web)"/>
    <w:basedOn w:val="1"/>
    <w:unhideWhenUsed/>
    <w:qFormat/>
    <w:uiPriority w:val="0"/>
    <w:pPr>
      <w:spacing w:before="100" w:beforeAutospacing="1" w:after="100" w:afterAutospacing="1" w:line="240" w:lineRule="auto"/>
    </w:pPr>
    <w:rPr>
      <w:rFonts w:ascii="宋体" w:hAnsi="宋体" w:eastAsia="宋体" w:cs="宋体"/>
      <w:kern w:val="0"/>
      <w:sz w:val="24"/>
      <w:szCs w:val="24"/>
      <w14:ligatures w14:val="none"/>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styleId="12">
    <w:name w:val="annotation reference"/>
    <w:basedOn w:val="9"/>
    <w:semiHidden/>
    <w:unhideWhenUsed/>
    <w:qFormat/>
    <w:uiPriority w:val="99"/>
    <w:rPr>
      <w:sz w:val="21"/>
      <w:szCs w:val="21"/>
    </w:r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paragraph" w:customStyle="1" w:styleId="15">
    <w:name w:val="Default"/>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
    <w:name w:val="Table Paragraph"/>
    <w:basedOn w:val="1"/>
    <w:qFormat/>
    <w:uiPriority w:val="1"/>
    <w:pPr>
      <w:widowControl w:val="0"/>
      <w:spacing w:after="0" w:line="240" w:lineRule="auto"/>
      <w:jc w:val="both"/>
    </w:pPr>
    <w:rPr>
      <w:rFonts w:ascii="仿宋" w:hAnsi="仿宋" w:eastAsia="仿宋" w:cs="仿宋"/>
      <w:sz w:val="21"/>
      <w:szCs w:val="24"/>
      <w14:ligatures w14:val="none"/>
    </w:rPr>
  </w:style>
  <w:style w:type="character" w:customStyle="1" w:styleId="17">
    <w:name w:val="标题 1 字符"/>
    <w:basedOn w:val="9"/>
    <w:link w:val="2"/>
    <w:qFormat/>
    <w:uiPriority w:val="99"/>
    <w:rPr>
      <w:rFonts w:ascii="宋体" w:hAnsi="宋体" w:eastAsia="宋体" w:cs="Times New Roman"/>
      <w:b/>
      <w:bCs/>
      <w:kern w:val="44"/>
      <w:sz w:val="36"/>
      <w:szCs w:val="44"/>
      <w14:ligatures w14:val="none"/>
    </w:rPr>
  </w:style>
  <w:style w:type="paragraph" w:customStyle="1" w:styleId="18">
    <w:name w:val="toc 81"/>
    <w:next w:val="1"/>
    <w:qFormat/>
    <w:uiPriority w:val="0"/>
    <w:pPr>
      <w:wordWrap w:val="0"/>
      <w:ind w:left="2975"/>
      <w:jc w:val="both"/>
    </w:pPr>
    <w:rPr>
      <w:rFonts w:ascii="Times New Roman" w:hAnsi="Times New Roman" w:eastAsia="宋体" w:cs="Times New Roman"/>
      <w:sz w:val="21"/>
      <w:lang w:val="en-US" w:eastAsia="zh-CN" w:bidi="ar-SA"/>
    </w:rPr>
  </w:style>
  <w:style w:type="character" w:customStyle="1" w:styleId="19">
    <w:name w:val="批注文字 字符"/>
    <w:basedOn w:val="9"/>
    <w:link w:val="3"/>
    <w:qFormat/>
    <w:uiPriority w:val="0"/>
    <w:rPr>
      <w:rFonts w:ascii="宋体" w:hAnsi="Times New Roman" w:eastAsia="宋体" w:cs="Times New Roman"/>
      <w:kern w:val="0"/>
      <w:sz w:val="34"/>
      <w14:ligatures w14:val="none"/>
    </w:rPr>
  </w:style>
  <w:style w:type="character" w:customStyle="1" w:styleId="20">
    <w:name w:val="列表段落 字符"/>
    <w:link w:val="21"/>
    <w:qFormat/>
    <w:uiPriority w:val="0"/>
    <w:rPr>
      <w:sz w:val="18"/>
      <w:szCs w:val="18"/>
    </w:rPr>
  </w:style>
  <w:style w:type="paragraph" w:styleId="21">
    <w:name w:val="List Paragraph"/>
    <w:basedOn w:val="1"/>
    <w:link w:val="20"/>
    <w:qFormat/>
    <w:uiPriority w:val="0"/>
    <w:pPr>
      <w:widowControl w:val="0"/>
      <w:spacing w:after="0" w:line="240" w:lineRule="auto"/>
      <w:ind w:firstLine="420" w:firstLineChars="200"/>
      <w:jc w:val="both"/>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E4BFD-1C24-4F69-A963-55B4184361CA}">
  <ds:schemaRefs/>
</ds:datastoreItem>
</file>

<file path=docProps/app.xml><?xml version="1.0" encoding="utf-8"?>
<Properties xmlns="http://schemas.openxmlformats.org/officeDocument/2006/extended-properties" xmlns:vt="http://schemas.openxmlformats.org/officeDocument/2006/docPropsVTypes">
  <Template>Normal</Template>
  <Pages>4</Pages>
  <Words>312</Words>
  <Characters>316</Characters>
  <Lines>22</Lines>
  <Paragraphs>6</Paragraphs>
  <TotalTime>3</TotalTime>
  <ScaleCrop>false</ScaleCrop>
  <LinksUpToDate>false</LinksUpToDate>
  <CharactersWithSpaces>316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2026-10-20T11:35:00Z</dcterms:created>
  <dc:creator>YxGao</dc:creator>
  <cp:lastModifiedBy>蠻蠻zZ~~</cp:lastModifiedBy>
  <dcterms:modified xsi:type="dcterms:W3CDTF">2026-10-20T11:44:30Z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729355CEB03142FAB7181C424859AACA_13</vt:lpwstr>
  </property>
  <property fmtid="{D5CDD505-2E9C-101B-9397-08002B2CF9AE}" pid="4" name="KSOTemplateDocerSaveRecord">
    <vt:lpwstr>eyJoZGlkIjoiMWNhMTBkNjNjYjgyNGVhM2VkYzk3NzEwYmY0NmJhNTciLCJ1c2VySWQiOiIzMjEyMjQwMDQifQ==</vt:lpwstr>
  </property>
</Properties>
</file>